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SimSun" w:eastAsia="SimSun" w:hAnsi="SimSun" w:cs="SimSun"/>
          <w:color w:val="484848"/>
          <w:kern w:val="0"/>
          <w:sz w:val="18"/>
          <w:szCs w:val="18"/>
        </w:rPr>
      </w:pPr>
      <w:bookmarkStart w:id="0" w:name="_GoBack"/>
      <w:bookmarkEnd w:id="0"/>
      <w:r>
        <w:rPr>
          <w:rFonts w:ascii="SimSun" w:eastAsia="SimSun" w:hAnsi="SimSun" w:cs="SimSun"/>
          <w:noProof/>
          <w:color w:val="484848"/>
          <w:kern w:val="0"/>
          <w:sz w:val="27"/>
          <w:szCs w:val="27"/>
          <w:lang w:val="en-GB" w:eastAsia="en-GB"/>
        </w:rPr>
        <w:drawing>
          <wp:inline distT="0" distB="0" distL="0" distR="0">
            <wp:extent cx="7162800" cy="3609975"/>
            <wp:effectExtent l="19050" t="0" r="0" b="0"/>
            <wp:docPr id="2" name="图片 2" descr="http://www.chinapsc.org/uploads/ck/a811f7b4-113c-42d7-b7ca-66b1fd4ba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psc.org/uploads/ck/a811f7b4-113c-42d7-b7ca-66b1fd4ba27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0" cy="3609975"/>
                    </a:xfrm>
                    <a:prstGeom prst="rect">
                      <a:avLst/>
                    </a:prstGeom>
                    <a:ln>
                      <a:noFill/>
                    </a:ln>
                    <a:effectLst>
                      <a:softEdge rad="112500"/>
                    </a:effectLst>
                  </pic:spPr>
                </pic:pic>
              </a:graphicData>
            </a:graphic>
          </wp:inline>
        </w:drawing>
      </w:r>
      <w:r>
        <w:rPr>
          <w:rFonts w:ascii="SimSun" w:eastAsia="SimSun" w:hAnsi="SimSun" w:cs="SimSun" w:hint="eastAsia"/>
          <w:color w:val="484848"/>
          <w:kern w:val="0"/>
          <w:sz w:val="18"/>
          <w:szCs w:val="18"/>
        </w:rPr>
        <w:br w:type="textWrapping" w:clear="all"/>
      </w:r>
    </w:p>
    <w:p>
      <w:pPr>
        <w:widowControl/>
        <w:spacing w:before="100" w:beforeAutospacing="1" w:after="100" w:afterAutospacing="1"/>
        <w:jc w:val="center"/>
        <w:rPr>
          <w:rFonts w:ascii="SimSun" w:eastAsia="SimSun" w:hAnsi="SimSun" w:cs="SimSun"/>
          <w:color w:val="484848"/>
          <w:kern w:val="0"/>
          <w:sz w:val="18"/>
          <w:szCs w:val="18"/>
        </w:rPr>
      </w:pPr>
      <w:r>
        <w:rPr>
          <w:rFonts w:ascii="SimSun" w:eastAsia="SimSun" w:hAnsi="SimSun" w:cs="SimSun" w:hint="eastAsia"/>
          <w:b/>
          <w:bCs/>
          <w:color w:val="484848"/>
          <w:kern w:val="0"/>
          <w:sz w:val="36"/>
          <w:szCs w:val="36"/>
        </w:rPr>
        <w:t>中华人民共和国海事局关于加强船舶排放控制区监督管理工作的通知</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各有关单位：</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根据《中华人民共和国大气污染防治法》、《中华人民共和国海洋环境保护法》、《防治船舶污染海洋环境管理条例》、《防治船舶污染内河水域环境管理规定》等法律法规规章的要求，为落实交通运输部发布的《珠三角、长三角、环渤海（京津冀）水域船舶排放控制区实施方案》（交海发〔2015〕177号，以下简称《方案》），便利船舶在船舶排放</w:t>
      </w:r>
      <w:r>
        <w:rPr>
          <w:rFonts w:ascii="SimSun" w:eastAsia="SimSun" w:hAnsi="SimSun" w:cs="SimSun" w:hint="eastAsia"/>
          <w:color w:val="484848"/>
          <w:kern w:val="0"/>
          <w:sz w:val="27"/>
          <w:szCs w:val="27"/>
        </w:rPr>
        <w:lastRenderedPageBreak/>
        <w:t>控制区（以下简称“控制区”）航行、停泊和作业，加强船舶大气污染防治监督管理，改善大气环境质量，现将有关要求通知如下：</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一、按照《方案》控制要求在控制区内需要转换低硫燃油的船舶，应将换油的起止日期、时间、船舶经纬度和燃油含硫量，以及低硫燃油的使用量、换油操作人员等信息记录在轮机日志中。需要换油的船舶应配备一份书面的燃油转换程序，作为船舶安全管理体系的组成部分。</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船舶燃油供给单位应对每批次燃油进行检测，并按规定将检测报告留存备查，已经检测的燃油又经调和或者与其它燃油混装的，应当重新检测。船舶燃油供给单位应当依法向船舶提供船舶燃油供受单证和燃油样品。船舶应将燃油供受单证保存3年，将燃油样品保存至少1年并直至所加燃油用完为止。</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二、船舶和码头具备岸基供受电条件，且已就供受电程序做出了适当安排，在不影响船岸安全的前提下，船舶应优先使用岸电。船舶应将岸电使用起止日期及时间、操作人员等信息记录在轮机日志中。</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船舶使用岸电的，船岸双方应当按照规定的程序操作，岸电提供方应为船舶提供书面的使用程序手册和安全作业指南。</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三、使用液化天然气或其他低排放船舶燃料等清洁能源作为替代措施的船舶，应在船舶检验机构签发的船舶防止空气污染证书的记事栏中备注使用清洁能源的种类。双燃料动力船舶应将各种燃料的使用量、换用燃料的日期、时间和船舶经纬度、操作人员等信息记录在轮机日志中。</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lastRenderedPageBreak/>
        <w:t>四、使用尾气后处理装置作为替代措施的船舶，应持有船舶检验机构签发的尾气后处理装置产品证书，并在船舶防止空气污染证书中签注。船舶应将使用尾气后处理装置的起止日期、时间和船舶经纬度、操作人员等信息记录在轮机日志中。</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五、为保障船舶安全或实施海上人命救助，或因船舶及其设备损坏、故障而产生不符合《方案》排放控制要求的，船舶应及时向就近的海事管理机构报告，并将相关信息记录在航海日志中。</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六、各级海事管理机构应当加强对控制区内船舶大气污染防治的监督管理工作，我局制定了《船舶排放控制区监督管理指南》（详见附件）供执法时参考使用，各单位在执行中发现的问题应</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及时报告我局。</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附件：船舶排放控制区监督管理指南</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w:t>
      </w:r>
    </w:p>
    <w:p>
      <w:pPr>
        <w:widowControl/>
        <w:spacing w:before="100" w:beforeAutospacing="1" w:after="100" w:afterAutospacing="1"/>
        <w:jc w:val="left"/>
        <w:rPr>
          <w:rFonts w:ascii="SimSun" w:eastAsia="SimSun" w:hAnsi="SimSun" w:cs="SimSun"/>
          <w:color w:val="484848"/>
          <w:kern w:val="0"/>
          <w:sz w:val="18"/>
          <w:szCs w:val="18"/>
        </w:rPr>
      </w:pPr>
    </w:p>
    <w:p>
      <w:pPr>
        <w:widowControl/>
        <w:spacing w:before="100" w:beforeAutospacing="1" w:after="100" w:afterAutospacing="1"/>
        <w:jc w:val="right"/>
        <w:rPr>
          <w:rFonts w:ascii="SimSun" w:eastAsia="SimSun" w:hAnsi="SimSun" w:cs="SimSun"/>
          <w:color w:val="484848"/>
          <w:kern w:val="0"/>
          <w:sz w:val="18"/>
          <w:szCs w:val="18"/>
        </w:rPr>
      </w:pPr>
      <w:r>
        <w:rPr>
          <w:rFonts w:ascii="SimSun" w:eastAsia="SimSun" w:hAnsi="SimSun" w:cs="SimSun" w:hint="eastAsia"/>
          <w:color w:val="484848"/>
          <w:kern w:val="0"/>
          <w:sz w:val="27"/>
          <w:szCs w:val="27"/>
        </w:rPr>
        <w:t>中华人民共和国海事局</w:t>
      </w:r>
    </w:p>
    <w:p>
      <w:pPr>
        <w:widowControl/>
        <w:spacing w:before="100" w:beforeAutospacing="1" w:after="100" w:afterAutospacing="1"/>
        <w:jc w:val="right"/>
        <w:rPr>
          <w:rFonts w:ascii="SimSun" w:eastAsia="SimSun" w:hAnsi="SimSun" w:cs="SimSun"/>
          <w:color w:val="484848"/>
          <w:kern w:val="0"/>
          <w:sz w:val="18"/>
          <w:szCs w:val="18"/>
        </w:rPr>
      </w:pPr>
      <w:r>
        <w:rPr>
          <w:rFonts w:ascii="SimSun" w:eastAsia="SimSun" w:hAnsi="SimSun" w:cs="SimSun" w:hint="eastAsia"/>
          <w:color w:val="484848"/>
          <w:kern w:val="0"/>
          <w:sz w:val="27"/>
          <w:szCs w:val="27"/>
        </w:rPr>
        <w:t> 2016年1月29日</w:t>
      </w:r>
    </w:p>
    <w:p>
      <w:pPr>
        <w:widowControl/>
        <w:jc w:val="left"/>
        <w:rPr>
          <w:rFonts w:ascii="SimSun" w:eastAsia="SimSun" w:hAnsi="SimSun" w:cs="SimSun"/>
          <w:kern w:val="0"/>
          <w:sz w:val="24"/>
          <w:szCs w:val="24"/>
        </w:rPr>
      </w:pPr>
      <w:r>
        <w:rPr>
          <w:rFonts w:ascii="SimSun" w:eastAsia="SimSun" w:hAnsi="SimSun" w:cs="SimSun" w:hint="eastAsia"/>
          <w:color w:val="484848"/>
          <w:kern w:val="0"/>
          <w:sz w:val="18"/>
          <w:szCs w:val="18"/>
        </w:rPr>
        <w:br w:type="textWrapping" w:clear="all"/>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lastRenderedPageBreak/>
        <w:t>附件</w:t>
      </w:r>
    </w:p>
    <w:p>
      <w:pPr>
        <w:widowControl/>
        <w:spacing w:before="100" w:beforeAutospacing="1" w:after="100" w:afterAutospacing="1"/>
        <w:jc w:val="center"/>
        <w:rPr>
          <w:rFonts w:ascii="SimSun" w:eastAsia="SimSun" w:hAnsi="SimSun" w:cs="SimSun"/>
          <w:color w:val="484848"/>
          <w:kern w:val="0"/>
          <w:sz w:val="18"/>
          <w:szCs w:val="18"/>
        </w:rPr>
      </w:pPr>
      <w:r>
        <w:rPr>
          <w:rFonts w:ascii="SimSun" w:eastAsia="SimSun" w:hAnsi="SimSun" w:cs="SimSun" w:hint="eastAsia"/>
          <w:b/>
          <w:bCs/>
          <w:color w:val="484848"/>
          <w:kern w:val="0"/>
          <w:sz w:val="24"/>
          <w:szCs w:val="24"/>
        </w:rPr>
        <w:t>船舶排放控制区监督管理指南</w:t>
      </w:r>
    </w:p>
    <w:p>
      <w:pPr>
        <w:widowControl/>
        <w:spacing w:before="100" w:beforeAutospacing="1" w:after="100" w:afterAutospacing="1"/>
        <w:jc w:val="left"/>
        <w:outlineLvl w:val="1"/>
        <w:rPr>
          <w:rFonts w:ascii="SimSun" w:eastAsia="SimSun" w:hAnsi="SimSun" w:cs="SimSun"/>
          <w:b/>
          <w:bCs/>
          <w:color w:val="484848"/>
          <w:kern w:val="0"/>
          <w:sz w:val="36"/>
          <w:szCs w:val="36"/>
        </w:rPr>
      </w:pPr>
      <w:r>
        <w:rPr>
          <w:rFonts w:ascii="SimSun" w:eastAsia="SimSun" w:hAnsi="SimSun" w:cs="SimSun" w:hint="eastAsia"/>
          <w:b/>
          <w:bCs/>
          <w:color w:val="484848"/>
          <w:kern w:val="0"/>
          <w:sz w:val="27"/>
          <w:szCs w:val="27"/>
        </w:rPr>
        <w:t>1 总则</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1.1 目的</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本指南的目的是为保障交通运输部发布的《珠三角、长三角、环渤海（京津冀）水域船舶排放控制区实施方案》（以下简称“《方案》”）的实施，为各级海事管理机构开展控制区内船舶大气污染防治监督管理而提供的指导性文件。</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1.2 依据</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本指南依据《中华人民共和国大气污染防治法》、《中华人民共和国海洋环境保护法》、《防治船舶污染海洋环境管理条例》、《防治船舶污染内河水域环境管理规定》等法律法规规章进行编制。</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1.3 适用对象</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本指南适用于在排放控制区内航行、停泊、作业的船舶，军用船舶、体育运动船艇和渔业船舶除外。</w:t>
      </w:r>
    </w:p>
    <w:p>
      <w:pPr>
        <w:widowControl/>
        <w:spacing w:before="100" w:beforeAutospacing="1" w:after="100" w:afterAutospacing="1"/>
        <w:jc w:val="left"/>
        <w:outlineLvl w:val="1"/>
        <w:rPr>
          <w:rFonts w:ascii="SimSun" w:eastAsia="SimSun" w:hAnsi="SimSun" w:cs="SimSun"/>
          <w:b/>
          <w:bCs/>
          <w:color w:val="484848"/>
          <w:kern w:val="0"/>
          <w:sz w:val="36"/>
          <w:szCs w:val="36"/>
        </w:rPr>
      </w:pPr>
      <w:r>
        <w:rPr>
          <w:rFonts w:ascii="SimSun" w:eastAsia="SimSun" w:hAnsi="SimSun" w:cs="SimSun" w:hint="eastAsia"/>
          <w:b/>
          <w:bCs/>
          <w:color w:val="484848"/>
          <w:kern w:val="0"/>
          <w:sz w:val="27"/>
          <w:szCs w:val="27"/>
        </w:rPr>
        <w:t>2 船舶换用低硫燃油的检查要求</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2.1 文书检查</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海事管理机构应结合现场监督和安全检查工作，对船舶的轮机日志、燃油供受单证等材料进行检查。具体检查内容如下：</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1）轮机日志：核查船舶换油起止日期、时间和船舶经纬度等信息记录是否完整规范；核查换油起止船舶位置、燃油含硫量及低硫燃油使用量是否满足控制区要求；核查每一燃油舱中燃油的存量记录是否完整规范。</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（2）燃油供受单证：核查是否持有燃油供受单证，单证记录的燃油是否符合要求。</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（3）燃油转换程序：核查是否持有书面燃油转换程序，该程序是否符合船舶安全管理体系要求，燃油转换操作记录是否规范完整。</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2.2 燃油检查</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（1）对于文书检查不合格、有违规记录，或者经监测存在违规嫌疑的船舶，海事管理机构应进行船舶燃油检测。</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（2）对于文书检查合格、无违规记录且无违规嫌疑的船舶，海事管理机构可进行船舶燃油抽检。</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（3）对于需要进行燃油样品检查的船舶，海事管理机构应安排执法人员上船进行燃油样品取样，并送至具备国家规定资质的检测单位进行检测，由检测单位出具检测结果。</w:t>
      </w:r>
    </w:p>
    <w:p>
      <w:pPr>
        <w:widowControl/>
        <w:spacing w:before="100" w:beforeAutospacing="1" w:after="100" w:afterAutospacing="1"/>
        <w:ind w:left="212"/>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a）取样：执法人员可参照《MARPOL公约》附则VI中规定的燃油取样指南（MEPC.96(47)号决议），结合实际情况，从被检测船舶管路中取样，或使用船舶燃油样品。如从管路中进行取样，样品份数为至少3份，每份样品量不少于400ml。</w:t>
      </w:r>
    </w:p>
    <w:p>
      <w:pPr>
        <w:widowControl/>
        <w:spacing w:before="100" w:beforeAutospacing="1" w:after="100" w:afterAutospacing="1"/>
        <w:ind w:left="212"/>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b）送检：海事执法人员应在取样后2个工作日内将样品送至燃油检测单位，燃油检测单位按照《MARPOL公约》附则VI中的附录VI规定的验证程序，以及现行有效的国家标准明确的检测方法进行样品检测。如果不能立即送往燃油检测单位，应将样品封存在低温、遮光和安全的地方。</w:t>
      </w:r>
    </w:p>
    <w:p>
      <w:pPr>
        <w:widowControl/>
        <w:spacing w:before="100" w:beforeAutospacing="1" w:after="100" w:afterAutospacing="1"/>
        <w:ind w:left="212"/>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c）检测报告：检测报告应当给出油品的含硫量，也可同时给出其它影响安全和环境保护的油品指标值，并与《船用燃料油》等国家标准中列明的数值进行比较。</w:t>
      </w:r>
    </w:p>
    <w:p>
      <w:pPr>
        <w:widowControl/>
        <w:spacing w:before="100" w:beforeAutospacing="1" w:after="100" w:afterAutospacing="1"/>
        <w:ind w:left="212"/>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d）核查：海事执法人员应在接到检测报告后，确认船舶燃油是否满足《方案》要求。</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b/>
          <w:bCs/>
          <w:color w:val="484848"/>
          <w:kern w:val="0"/>
          <w:sz w:val="24"/>
          <w:szCs w:val="24"/>
        </w:rPr>
        <w:t>2.3</w:t>
      </w:r>
      <w:r>
        <w:rPr>
          <w:rFonts w:ascii="SimSun" w:eastAsia="SimSun" w:hAnsi="SimSun" w:cs="SimSun" w:hint="eastAsia"/>
          <w:b/>
          <w:bCs/>
          <w:color w:val="484848"/>
          <w:kern w:val="0"/>
          <w:sz w:val="27"/>
          <w:szCs w:val="27"/>
        </w:rPr>
        <w:t> </w:t>
      </w:r>
      <w:r>
        <w:rPr>
          <w:rFonts w:ascii="SimSun" w:eastAsia="SimSun" w:hAnsi="SimSun" w:cs="SimSun" w:hint="eastAsia"/>
          <w:b/>
          <w:bCs/>
          <w:color w:val="484848"/>
          <w:kern w:val="0"/>
          <w:sz w:val="24"/>
          <w:szCs w:val="24"/>
        </w:rPr>
        <w:t>处理</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（1）使用不符合标准或者要求燃油的船舶，应当根据违法情节，依据法律法规或国际公约相关规定，按照下列一种或者几种方式进行处理：</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a）警示教育；</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b）纠正违规行为；</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c）滞留；</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d）依据《中华人民共和国大气污染防治法》第一百零六条进行处罚。若船舶已离港，当地海事管理机构可通报下一港海事管理机构协助调查。</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（2）船舶燃油供给单位未如实填写燃油供受单证的，或未按照规定向船舶提供燃油供受单证和燃油样品的，按照《防治船舶污染海洋环境管理条例》第六十三条进行处罚；</w:t>
      </w:r>
    </w:p>
    <w:p>
      <w:pPr>
        <w:widowControl/>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   （3）船舶和船舶燃油供给单位未按照规定保存燃油供受单证和燃油样品的，按照《防治船舶污染海洋环境管理条例》第六十三条进行处罚。</w:t>
      </w:r>
    </w:p>
    <w:p>
      <w:pPr>
        <w:widowControl/>
        <w:spacing w:before="100" w:beforeAutospacing="1" w:after="100" w:afterAutospacing="1"/>
        <w:jc w:val="left"/>
        <w:outlineLvl w:val="1"/>
        <w:rPr>
          <w:rFonts w:ascii="SimSun" w:eastAsia="SimSun" w:hAnsi="SimSun" w:cs="SimSun"/>
          <w:b/>
          <w:bCs/>
          <w:color w:val="484848"/>
          <w:kern w:val="0"/>
          <w:sz w:val="36"/>
          <w:szCs w:val="36"/>
        </w:rPr>
      </w:pPr>
      <w:r>
        <w:rPr>
          <w:rFonts w:ascii="SimSun" w:eastAsia="SimSun" w:hAnsi="SimSun" w:cs="SimSun" w:hint="eastAsia"/>
          <w:b/>
          <w:bCs/>
          <w:color w:val="484848"/>
          <w:kern w:val="0"/>
          <w:sz w:val="27"/>
          <w:szCs w:val="27"/>
        </w:rPr>
        <w:t>3 替代措施的检查要求</w:t>
      </w:r>
    </w:p>
    <w:p>
      <w:pPr>
        <w:widowControl/>
        <w:spacing w:before="100" w:beforeAutospacing="1" w:after="100" w:afterAutospacing="1"/>
        <w:jc w:val="left"/>
        <w:outlineLvl w:val="2"/>
        <w:rPr>
          <w:rFonts w:ascii="SimSun" w:eastAsia="SimSun" w:hAnsi="SimSun" w:cs="SimSun"/>
          <w:b/>
          <w:bCs/>
          <w:color w:val="484848"/>
          <w:kern w:val="0"/>
          <w:sz w:val="27"/>
          <w:szCs w:val="27"/>
        </w:rPr>
      </w:pPr>
      <w:r>
        <w:rPr>
          <w:rFonts w:ascii="SimSun" w:eastAsia="SimSun" w:hAnsi="SimSun" w:cs="SimSun" w:hint="eastAsia"/>
          <w:b/>
          <w:bCs/>
          <w:color w:val="484848"/>
          <w:kern w:val="0"/>
          <w:sz w:val="27"/>
          <w:szCs w:val="27"/>
        </w:rPr>
        <w:t>3.1 文书检查</w:t>
      </w:r>
    </w:p>
    <w:p>
      <w:pPr>
        <w:widowControl/>
        <w:spacing w:before="100" w:beforeAutospacing="1" w:after="100" w:afterAutospacing="1"/>
        <w:ind w:left="212"/>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海事管理机构应结合现场监督和安全检查工作，对船舶文书进行检查，具体检查内容如下：</w:t>
      </w:r>
    </w:p>
    <w:p>
      <w:pPr>
        <w:widowControl/>
        <w:numPr>
          <w:ilvl w:val="0"/>
          <w:numId w:val="2"/>
        </w:numPr>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对于使用岸电的船舶，应核查船舶轮机日志中的岸电使用起止时间记录是否完整规范；确定岸电使用起止时间是否满足控制区要求；确认船舶是否具备使用岸电的条件等。</w:t>
      </w:r>
    </w:p>
    <w:p>
      <w:pPr>
        <w:widowControl/>
        <w:numPr>
          <w:ilvl w:val="0"/>
          <w:numId w:val="2"/>
        </w:numPr>
        <w:spacing w:before="100" w:beforeAutospacing="1" w:after="100" w:afterAutospacing="1"/>
        <w:jc w:val="left"/>
        <w:rPr>
          <w:rFonts w:ascii="SimSun" w:eastAsia="SimSun" w:hAnsi="SimSun" w:cs="SimSun"/>
          <w:color w:val="484848"/>
          <w:kern w:val="0"/>
          <w:sz w:val="18"/>
          <w:szCs w:val="18"/>
        </w:rPr>
      </w:pPr>
      <w:r>
        <w:rPr>
          <w:rFonts w:ascii="SimSun" w:eastAsia="SimSun" w:hAnsi="SimSun" w:cs="SimSun" w:hint="eastAsia"/>
          <w:color w:val="484848"/>
          <w:kern w:val="0"/>
          <w:sz w:val="27"/>
          <w:szCs w:val="27"/>
        </w:rPr>
        <w:t>对于使用清洁能源的船舶，应核查船舶防止空气污染证书是否备注该船舶使用清洁能源。其中，对于双燃料动力船舶，应核查换用燃料时间记录是否完整规范；核查换用燃料时的船舶经纬度记录是否完整规范；确定换用燃料时的船舶位置是否满足控制区要求；核查清洁能源和燃油的使用量记录是否完整规范等。</w:t>
      </w:r>
    </w:p>
    <w:p>
      <w:pPr>
        <w:widowControl/>
        <w:spacing w:before="100" w:beforeAutospacing="1" w:after="100" w:afterAutospacing="1"/>
        <w:jc w:val="left"/>
        <w:rPr>
          <w:color w:val="484848"/>
          <w:sz w:val="18"/>
          <w:szCs w:val="18"/>
        </w:rPr>
      </w:pPr>
      <w:r>
        <w:rPr>
          <w:rFonts w:ascii="SimSun" w:eastAsia="SimSun" w:hAnsi="SimSun" w:cs="SimSun" w:hint="eastAsia"/>
          <w:color w:val="484848"/>
          <w:kern w:val="0"/>
          <w:sz w:val="27"/>
          <w:szCs w:val="27"/>
        </w:rPr>
        <w:t> </w:t>
      </w:r>
      <w:r>
        <w:rPr>
          <w:rFonts w:hint="eastAsia"/>
          <w:color w:val="484848"/>
          <w:sz w:val="27"/>
          <w:szCs w:val="27"/>
        </w:rPr>
        <w:t xml:space="preserve">    </w:t>
      </w:r>
      <w:r>
        <w:rPr>
          <w:rFonts w:hint="eastAsia"/>
          <w:color w:val="484848"/>
          <w:sz w:val="27"/>
          <w:szCs w:val="27"/>
        </w:rPr>
        <w:t>（</w:t>
      </w:r>
      <w:r>
        <w:rPr>
          <w:rFonts w:hint="eastAsia"/>
          <w:color w:val="484848"/>
          <w:sz w:val="27"/>
          <w:szCs w:val="27"/>
        </w:rPr>
        <w:t>3</w:t>
      </w:r>
      <w:r>
        <w:rPr>
          <w:rFonts w:hint="eastAsia"/>
          <w:color w:val="484848"/>
          <w:sz w:val="27"/>
          <w:szCs w:val="27"/>
        </w:rPr>
        <w:t>）对于加装尾气后处理装置的船舶，应对核查船舶轮机日志中尾气后处理装置使用起止时间记录是否完整规范；装置使用起止时的船舶经纬度记录是否完整规范；确认装置使用起止时船舶位置是否满足控制区要求；核查是否持有尾气后处理装置产品相关证书以及是否在船舶防止空气污染证书有相应的签注等。</w:t>
      </w:r>
    </w:p>
    <w:p>
      <w:pPr>
        <w:pStyle w:val="Heading3"/>
        <w:rPr>
          <w:color w:val="484848"/>
        </w:rPr>
      </w:pPr>
      <w:r>
        <w:rPr>
          <w:rFonts w:hint="eastAsia"/>
          <w:color w:val="484848"/>
        </w:rPr>
        <w:t>3.2 现场检查</w:t>
      </w:r>
    </w:p>
    <w:p>
      <w:pPr>
        <w:pStyle w:val="NormalWeb"/>
        <w:rPr>
          <w:color w:val="484848"/>
          <w:sz w:val="18"/>
          <w:szCs w:val="18"/>
        </w:rPr>
      </w:pPr>
      <w:r>
        <w:rPr>
          <w:rFonts w:hint="eastAsia"/>
          <w:color w:val="484848"/>
          <w:sz w:val="27"/>
          <w:szCs w:val="27"/>
        </w:rPr>
        <w:t>对于文书检查不合格、有违规记录或存在违规嫌疑的船舶，海事管理机构应对船舶使用岸电、清洁能源和加装尾气后处理装置进行现场巡查。</w:t>
      </w:r>
    </w:p>
    <w:p>
      <w:pPr>
        <w:pStyle w:val="Heading3"/>
        <w:rPr>
          <w:color w:val="484848"/>
        </w:rPr>
      </w:pPr>
      <w:r>
        <w:rPr>
          <w:rFonts w:hint="eastAsia"/>
          <w:color w:val="484848"/>
        </w:rPr>
        <w:t>3.3 结果处理</w:t>
      </w:r>
    </w:p>
    <w:p>
      <w:pPr>
        <w:pStyle w:val="NormalWeb"/>
        <w:rPr>
          <w:color w:val="484848"/>
          <w:sz w:val="18"/>
          <w:szCs w:val="18"/>
        </w:rPr>
      </w:pPr>
      <w:r>
        <w:rPr>
          <w:rFonts w:hint="eastAsia"/>
          <w:color w:val="484848"/>
          <w:sz w:val="27"/>
          <w:szCs w:val="27"/>
        </w:rPr>
        <w:t>船舶采取替代措施未满足与使用低硫燃油等效排放要求的，应当根据违法情节，依据法律法规或国际公约相关规定，按照下列一种或者几种方式进行处理：</w:t>
      </w:r>
    </w:p>
    <w:p>
      <w:pPr>
        <w:pStyle w:val="NormalWeb"/>
        <w:rPr>
          <w:color w:val="484848"/>
          <w:sz w:val="18"/>
          <w:szCs w:val="18"/>
        </w:rPr>
      </w:pPr>
      <w:r>
        <w:rPr>
          <w:rFonts w:hint="eastAsia"/>
          <w:color w:val="484848"/>
          <w:sz w:val="27"/>
          <w:szCs w:val="27"/>
        </w:rPr>
        <w:t>（1）警示教育；</w:t>
      </w:r>
    </w:p>
    <w:p>
      <w:pPr>
        <w:pStyle w:val="NormalWeb"/>
        <w:rPr>
          <w:color w:val="484848"/>
          <w:sz w:val="18"/>
          <w:szCs w:val="18"/>
        </w:rPr>
      </w:pPr>
      <w:r>
        <w:rPr>
          <w:rFonts w:hint="eastAsia"/>
          <w:color w:val="484848"/>
          <w:sz w:val="27"/>
          <w:szCs w:val="27"/>
        </w:rPr>
        <w:t>（2）纠正违规行为；</w:t>
      </w:r>
    </w:p>
    <w:p>
      <w:pPr>
        <w:pStyle w:val="NormalWeb"/>
        <w:rPr>
          <w:color w:val="484848"/>
          <w:sz w:val="18"/>
          <w:szCs w:val="18"/>
        </w:rPr>
      </w:pPr>
      <w:r>
        <w:rPr>
          <w:rFonts w:hint="eastAsia"/>
          <w:color w:val="484848"/>
          <w:sz w:val="27"/>
          <w:szCs w:val="27"/>
        </w:rPr>
        <w:t>（3）滞留。</w:t>
      </w:r>
    </w:p>
    <w:p>
      <w:pPr>
        <w:pStyle w:val="NormalWeb"/>
        <w:rPr>
          <w:color w:val="484848"/>
          <w:sz w:val="18"/>
          <w:szCs w:val="18"/>
        </w:rPr>
      </w:pPr>
      <w:r>
        <w:rPr>
          <w:rFonts w:hint="eastAsia"/>
          <w:color w:val="484848"/>
          <w:sz w:val="27"/>
          <w:szCs w:val="27"/>
        </w:rPr>
        <w:t> </w:t>
      </w:r>
    </w:p>
    <w:p>
      <w:pPr>
        <w:pStyle w:val="NormalWeb"/>
        <w:jc w:val="right"/>
        <w:rPr>
          <w:color w:val="484848"/>
          <w:sz w:val="18"/>
          <w:szCs w:val="18"/>
        </w:rPr>
      </w:pPr>
      <w:r>
        <w:rPr>
          <w:rFonts w:hint="eastAsia"/>
          <w:color w:val="484848"/>
          <w:sz w:val="27"/>
          <w:szCs w:val="27"/>
        </w:rPr>
        <w:t> </w:t>
      </w:r>
    </w:p>
    <w:p>
      <w:pPr>
        <w:pStyle w:val="NormalWeb"/>
        <w:jc w:val="right"/>
        <w:rPr>
          <w:color w:val="484848"/>
          <w:sz w:val="18"/>
          <w:szCs w:val="18"/>
        </w:rPr>
      </w:pPr>
      <w:r>
        <w:rPr>
          <w:rFonts w:hint="eastAsia"/>
          <w:color w:val="484848"/>
          <w:sz w:val="27"/>
          <w:szCs w:val="27"/>
        </w:rPr>
        <w:t> </w:t>
      </w:r>
    </w:p>
    <w:p>
      <w:pPr>
        <w:pStyle w:val="NormalWeb"/>
        <w:jc w:val="right"/>
        <w:rPr>
          <w:color w:val="484848"/>
          <w:sz w:val="18"/>
          <w:szCs w:val="18"/>
        </w:rPr>
      </w:pPr>
      <w:r>
        <w:rPr>
          <w:rFonts w:hint="eastAsia"/>
          <w:color w:val="484848"/>
          <w:sz w:val="27"/>
          <w:szCs w:val="27"/>
        </w:rPr>
        <w:t> </w:t>
      </w:r>
    </w:p>
    <w:p>
      <w:pPr>
        <w:pStyle w:val="NormalWeb"/>
        <w:rPr>
          <w:color w:val="484848"/>
          <w:sz w:val="18"/>
          <w:szCs w:val="18"/>
        </w:rPr>
      </w:pPr>
      <w:r>
        <w:rPr>
          <w:rFonts w:hint="eastAsia"/>
          <w:color w:val="484848"/>
          <w:sz w:val="18"/>
          <w:szCs w:val="18"/>
        </w:rPr>
        <w:t> </w:t>
      </w:r>
    </w:p>
    <w:p>
      <w:r>
        <w:rPr>
          <w:rFonts w:hint="eastAsia"/>
          <w:color w:val="484848"/>
          <w:sz w:val="18"/>
          <w:szCs w:val="18"/>
        </w:rPr>
        <w:br w:type="textWrapping" w:clear="all"/>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1D3"/>
    <w:multiLevelType w:val="multilevel"/>
    <w:tmpl w:val="191C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117C9"/>
    <w:multiLevelType w:val="multilevel"/>
    <w:tmpl w:val="5368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link w:val="Heading3Char"/>
    <w:uiPriority w:val="9"/>
    <w:qFormat/>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SimSun" w:eastAsia="SimSun" w:hAnsi="SimSun" w:cs="SimSun"/>
      <w:b/>
      <w:bCs/>
      <w:kern w:val="0"/>
      <w:sz w:val="36"/>
      <w:szCs w:val="36"/>
    </w:rPr>
  </w:style>
  <w:style w:type="character" w:customStyle="1" w:styleId="Heading3Char">
    <w:name w:val="Heading 3 Char"/>
    <w:basedOn w:val="DefaultParagraphFont"/>
    <w:link w:val="Heading3"/>
    <w:uiPriority w:val="9"/>
    <w:rPr>
      <w:rFonts w:ascii="SimSun" w:eastAsia="SimSun" w:hAnsi="SimSun" w:cs="SimSun"/>
      <w:b/>
      <w:bCs/>
      <w:kern w:val="0"/>
      <w:sz w:val="27"/>
      <w:szCs w:val="27"/>
    </w:rPr>
  </w:style>
  <w:style w:type="paragraph" w:styleId="NormalWeb">
    <w:name w:val="Normal (Web)"/>
    <w:basedOn w:val="Normal"/>
    <w:uiPriority w:val="99"/>
    <w:unhideWhenUsed/>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6D62EB"/>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link w:val="Heading3Char"/>
    <w:uiPriority w:val="9"/>
    <w:qFormat/>
    <w:rsid w:val="006D62EB"/>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标题 2 Char"/>
    <w:basedOn w:val="DefaultParagraphFont"/>
    <w:link w:val="Heading2"/>
    <w:uiPriority w:val="9"/>
    <w:rsid w:val="006D62EB"/>
    <w:rPr>
      <w:rFonts w:ascii="SimSun" w:eastAsia="SimSun" w:hAnsi="SimSun" w:cs="SimSun"/>
      <w:b/>
      <w:bCs/>
      <w:kern w:val="0"/>
      <w:sz w:val="36"/>
      <w:szCs w:val="36"/>
    </w:rPr>
  </w:style>
  <w:style w:type="character" w:customStyle="1" w:styleId="Heading3Char">
    <w:name w:val="标题 3 Char"/>
    <w:basedOn w:val="DefaultParagraphFont"/>
    <w:link w:val="Heading3"/>
    <w:uiPriority w:val="9"/>
    <w:rsid w:val="006D62EB"/>
    <w:rPr>
      <w:rFonts w:ascii="SimSun" w:eastAsia="SimSun" w:hAnsi="SimSun" w:cs="SimSun"/>
      <w:b/>
      <w:bCs/>
      <w:kern w:val="0"/>
      <w:sz w:val="27"/>
      <w:szCs w:val="27"/>
    </w:rPr>
  </w:style>
  <w:style w:type="paragraph" w:styleId="NormalWeb">
    <w:name w:val="Normal (Web)"/>
    <w:basedOn w:val="Normal"/>
    <w:uiPriority w:val="99"/>
    <w:unhideWhenUsed/>
    <w:rsid w:val="006D62EB"/>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6D62EB"/>
    <w:rPr>
      <w:b/>
      <w:bCs/>
    </w:rPr>
  </w:style>
  <w:style w:type="character" w:customStyle="1" w:styleId="apple-converted-space">
    <w:name w:val="apple-converted-space"/>
    <w:basedOn w:val="DefaultParagraphFont"/>
    <w:rsid w:val="006D62EB"/>
  </w:style>
  <w:style w:type="paragraph" w:styleId="BalloonText">
    <w:name w:val="Balloon Text"/>
    <w:basedOn w:val="Normal"/>
    <w:link w:val="BalloonTextChar"/>
    <w:uiPriority w:val="99"/>
    <w:semiHidden/>
    <w:unhideWhenUsed/>
    <w:rsid w:val="006D62EB"/>
    <w:rPr>
      <w:sz w:val="18"/>
      <w:szCs w:val="18"/>
    </w:rPr>
  </w:style>
  <w:style w:type="character" w:customStyle="1" w:styleId="BalloonTextChar">
    <w:name w:val="批注框文本 Char"/>
    <w:basedOn w:val="DefaultParagraphFont"/>
    <w:link w:val="BalloonText"/>
    <w:uiPriority w:val="99"/>
    <w:semiHidden/>
    <w:rsid w:val="006D62EB"/>
    <w:rPr>
      <w:sz w:val="18"/>
      <w:szCs w:val="18"/>
    </w:rPr>
  </w:style>
  <w:style w:type="paragraph" w:styleId="Header">
    <w:name w:val="header"/>
    <w:basedOn w:val="Normal"/>
    <w:link w:val="HeaderChar"/>
    <w:uiPriority w:val="99"/>
    <w:unhideWhenUsed/>
    <w:rsid w:val="00D27322"/>
    <w:pPr>
      <w:pBdr>
        <w:bottom w:val="single" w:sz="6" w:space="1" w:color="auto"/>
      </w:pBdr>
      <w:tabs>
        <w:tab w:val="center" w:pos="4153"/>
        <w:tab w:val="right" w:pos="8306"/>
      </w:tabs>
      <w:snapToGrid w:val="0"/>
      <w:jc w:val="center"/>
    </w:pPr>
    <w:rPr>
      <w:sz w:val="18"/>
      <w:szCs w:val="18"/>
    </w:rPr>
  </w:style>
  <w:style w:type="character" w:customStyle="1" w:styleId="HeaderChar">
    <w:name w:val="页眉 Char"/>
    <w:basedOn w:val="DefaultParagraphFont"/>
    <w:link w:val="Header"/>
    <w:uiPriority w:val="99"/>
    <w:rsid w:val="00D27322"/>
    <w:rPr>
      <w:sz w:val="18"/>
      <w:szCs w:val="18"/>
    </w:rPr>
  </w:style>
  <w:style w:type="paragraph" w:styleId="Footer">
    <w:name w:val="footer"/>
    <w:basedOn w:val="Normal"/>
    <w:link w:val="FooterChar"/>
    <w:uiPriority w:val="99"/>
    <w:unhideWhenUsed/>
    <w:rsid w:val="00D27322"/>
    <w:pPr>
      <w:tabs>
        <w:tab w:val="center" w:pos="4153"/>
        <w:tab w:val="right" w:pos="8306"/>
      </w:tabs>
      <w:snapToGrid w:val="0"/>
      <w:jc w:val="left"/>
    </w:pPr>
    <w:rPr>
      <w:sz w:val="18"/>
      <w:szCs w:val="18"/>
    </w:rPr>
  </w:style>
  <w:style w:type="character" w:customStyle="1" w:styleId="FooterChar">
    <w:name w:val="页脚 Char"/>
    <w:basedOn w:val="DefaultParagraphFont"/>
    <w:link w:val="Footer"/>
    <w:uiPriority w:val="99"/>
    <w:rsid w:val="00D27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7596">
      <w:bodyDiv w:val="1"/>
      <w:marLeft w:val="0"/>
      <w:marRight w:val="0"/>
      <w:marTop w:val="0"/>
      <w:marBottom w:val="0"/>
      <w:divBdr>
        <w:top w:val="none" w:sz="0" w:space="0" w:color="auto"/>
        <w:left w:val="none" w:sz="0" w:space="0" w:color="auto"/>
        <w:bottom w:val="none" w:sz="0" w:space="0" w:color="auto"/>
        <w:right w:val="none" w:sz="0" w:space="0" w:color="auto"/>
      </w:divBdr>
    </w:div>
    <w:div w:id="1210533583">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pati-svc</cp:lastModifiedBy>
  <cp:revision>2</cp:revision>
  <dcterms:created xsi:type="dcterms:W3CDTF">2016-07-19T13:26:00Z</dcterms:created>
  <dcterms:modified xsi:type="dcterms:W3CDTF">2016-07-19T13:26:00Z</dcterms:modified>
</cp:coreProperties>
</file>